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2B" w:rsidRPr="0020123B" w:rsidRDefault="00542B44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0123B">
        <w:rPr>
          <w:rFonts w:ascii="Arial" w:hAnsi="Arial" w:cs="Arial"/>
          <w:b/>
          <w:sz w:val="20"/>
          <w:szCs w:val="20"/>
        </w:rPr>
        <w:t>P. N.</w:t>
      </w:r>
      <w:r w:rsidR="00B30290">
        <w:rPr>
          <w:rFonts w:ascii="Arial" w:hAnsi="Arial" w:cs="Arial"/>
          <w:b/>
          <w:sz w:val="20"/>
          <w:szCs w:val="20"/>
        </w:rPr>
        <w:t>4</w:t>
      </w:r>
      <w:r w:rsidR="00DC2919" w:rsidRPr="0020123B">
        <w:rPr>
          <w:rFonts w:ascii="Arial" w:hAnsi="Arial" w:cs="Arial"/>
          <w:b/>
          <w:sz w:val="20"/>
          <w:szCs w:val="20"/>
        </w:rPr>
        <w:t>:</w:t>
      </w:r>
      <w:r w:rsidR="007606D7" w:rsidRPr="002012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30290">
        <w:rPr>
          <w:rFonts w:ascii="Arial" w:hAnsi="Arial" w:cs="Arial"/>
          <w:sz w:val="20"/>
          <w:szCs w:val="20"/>
        </w:rPr>
        <w:t>Cibaca</w:t>
      </w:r>
      <w:proofErr w:type="spellEnd"/>
      <w:r w:rsidR="00B30290">
        <w:rPr>
          <w:rFonts w:ascii="Arial" w:hAnsi="Arial" w:cs="Arial"/>
          <w:sz w:val="20"/>
          <w:szCs w:val="20"/>
        </w:rPr>
        <w:t xml:space="preserve"> Ltd., Mumbai was registered with an </w:t>
      </w:r>
      <w:proofErr w:type="spellStart"/>
      <w:r w:rsidR="00B30290">
        <w:rPr>
          <w:rFonts w:ascii="Arial" w:hAnsi="Arial" w:cs="Arial"/>
          <w:sz w:val="20"/>
          <w:szCs w:val="20"/>
        </w:rPr>
        <w:t>Authorised</w:t>
      </w:r>
      <w:proofErr w:type="spellEnd"/>
      <w:r w:rsidR="00B30290">
        <w:rPr>
          <w:rFonts w:ascii="Arial" w:hAnsi="Arial" w:cs="Arial"/>
          <w:sz w:val="20"/>
          <w:szCs w:val="20"/>
        </w:rPr>
        <w:t xml:space="preserve"> Capital of Rs. 1500000 divided into 15000 Equity Shares of Rs. 100 each. </w:t>
      </w:r>
      <w:r w:rsidR="007606D7" w:rsidRPr="0020123B">
        <w:rPr>
          <w:rFonts w:ascii="Arial" w:hAnsi="Arial" w:cs="Arial"/>
          <w:sz w:val="20"/>
          <w:szCs w:val="20"/>
        </w:rPr>
        <w:t>T</w:t>
      </w:r>
      <w:r w:rsidR="00E6172B" w:rsidRPr="0020123B">
        <w:rPr>
          <w:rFonts w:ascii="Arial" w:hAnsi="Arial" w:cs="Arial"/>
          <w:sz w:val="20"/>
          <w:szCs w:val="20"/>
        </w:rPr>
        <w:t>he</w:t>
      </w:r>
      <w:r w:rsidR="007606D7" w:rsidRPr="0020123B">
        <w:rPr>
          <w:rFonts w:ascii="Arial" w:hAnsi="Arial" w:cs="Arial"/>
          <w:sz w:val="20"/>
          <w:szCs w:val="20"/>
        </w:rPr>
        <w:t xml:space="preserve"> </w:t>
      </w:r>
      <w:r w:rsidR="00E6172B" w:rsidRPr="0020123B">
        <w:rPr>
          <w:rFonts w:ascii="Arial" w:hAnsi="Arial" w:cs="Arial"/>
          <w:sz w:val="20"/>
          <w:szCs w:val="20"/>
        </w:rPr>
        <w:t xml:space="preserve">Trial Balance </w:t>
      </w:r>
      <w:r w:rsidR="007606D7" w:rsidRPr="0020123B">
        <w:rPr>
          <w:rFonts w:ascii="Arial" w:hAnsi="Arial" w:cs="Arial"/>
          <w:sz w:val="20"/>
          <w:szCs w:val="20"/>
        </w:rPr>
        <w:t xml:space="preserve">as </w:t>
      </w:r>
      <w:r w:rsidR="0010798B" w:rsidRPr="0020123B">
        <w:rPr>
          <w:rFonts w:ascii="Arial" w:hAnsi="Arial" w:cs="Arial"/>
          <w:sz w:val="20"/>
          <w:szCs w:val="20"/>
        </w:rPr>
        <w:t>on 31st</w:t>
      </w:r>
      <w:r w:rsidR="00E6172B" w:rsidRPr="0020123B">
        <w:rPr>
          <w:rFonts w:ascii="Arial" w:hAnsi="Arial" w:cs="Arial"/>
          <w:sz w:val="20"/>
          <w:szCs w:val="20"/>
        </w:rPr>
        <w:t xml:space="preserve"> March, 20</w:t>
      </w:r>
      <w:r w:rsidR="0010798B">
        <w:rPr>
          <w:rFonts w:ascii="Arial" w:hAnsi="Arial" w:cs="Arial"/>
          <w:sz w:val="20"/>
          <w:szCs w:val="20"/>
        </w:rPr>
        <w:t xml:space="preserve">14 </w:t>
      </w:r>
      <w:r w:rsidR="00B30290">
        <w:rPr>
          <w:rFonts w:ascii="Arial" w:hAnsi="Arial" w:cs="Arial"/>
          <w:sz w:val="20"/>
          <w:szCs w:val="20"/>
        </w:rPr>
        <w:t>is as following</w:t>
      </w:r>
      <w:r w:rsidR="0010798B">
        <w:rPr>
          <w:rFonts w:ascii="Arial" w:hAnsi="Arial" w:cs="Arial"/>
          <w:sz w:val="20"/>
          <w:szCs w:val="20"/>
        </w:rPr>
        <w:t>.</w:t>
      </w:r>
    </w:p>
    <w:p w:rsidR="007606D7" w:rsidRPr="0020123B" w:rsidRDefault="007606D7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35" w:type="dxa"/>
        <w:tblLook w:val="04A0"/>
      </w:tblPr>
      <w:tblGrid>
        <w:gridCol w:w="3503"/>
        <w:gridCol w:w="1161"/>
        <w:gridCol w:w="3521"/>
        <w:gridCol w:w="1350"/>
      </w:tblGrid>
      <w:tr w:rsidR="005166E9" w:rsidRPr="0020123B" w:rsidTr="00161F71">
        <w:trPr>
          <w:trHeight w:val="287"/>
        </w:trPr>
        <w:tc>
          <w:tcPr>
            <w:tcW w:w="3503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Debit</w:t>
            </w:r>
          </w:p>
        </w:tc>
        <w:tc>
          <w:tcPr>
            <w:tcW w:w="1161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Rs.</w:t>
            </w:r>
          </w:p>
        </w:tc>
        <w:tc>
          <w:tcPr>
            <w:tcW w:w="3521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Credit</w:t>
            </w:r>
          </w:p>
        </w:tc>
        <w:tc>
          <w:tcPr>
            <w:tcW w:w="1350" w:type="dxa"/>
            <w:vAlign w:val="center"/>
          </w:tcPr>
          <w:p w:rsidR="00E6172B" w:rsidRPr="0020123B" w:rsidRDefault="00E6172B" w:rsidP="00161F71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Rs.</w:t>
            </w:r>
          </w:p>
        </w:tc>
      </w:tr>
      <w:tr w:rsidR="005166E9" w:rsidRPr="0020123B" w:rsidTr="00A015AE">
        <w:tc>
          <w:tcPr>
            <w:tcW w:w="3503" w:type="dxa"/>
          </w:tcPr>
          <w:p w:rsidR="000E1FAC" w:rsidRPr="0020123B" w:rsidRDefault="00B30290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Goodwill</w:t>
            </w:r>
          </w:p>
        </w:tc>
        <w:tc>
          <w:tcPr>
            <w:tcW w:w="1161" w:type="dxa"/>
          </w:tcPr>
          <w:p w:rsidR="00C566C9" w:rsidRPr="0020123B" w:rsidRDefault="00B30290" w:rsidP="000C71E2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3521" w:type="dxa"/>
          </w:tcPr>
          <w:p w:rsidR="002E3E34" w:rsidRPr="0020123B" w:rsidRDefault="00B30290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</w:t>
            </w:r>
          </w:p>
        </w:tc>
        <w:tc>
          <w:tcPr>
            <w:tcW w:w="1350" w:type="dxa"/>
          </w:tcPr>
          <w:p w:rsidR="005A0360" w:rsidRPr="0020123B" w:rsidRDefault="00B30290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1527000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Cash</w:t>
            </w:r>
          </w:p>
        </w:tc>
        <w:tc>
          <w:tcPr>
            <w:tcW w:w="1161" w:type="dxa"/>
          </w:tcPr>
          <w:p w:rsidR="00B30290" w:rsidRDefault="00362B5F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25500</w:t>
            </w:r>
          </w:p>
        </w:tc>
        <w:tc>
          <w:tcPr>
            <w:tcW w:w="3521" w:type="dxa"/>
          </w:tcPr>
          <w:p w:rsidR="00B30290" w:rsidRDefault="00362B5F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&amp; L. A/c. Balance on 1.4.2013</w:t>
            </w:r>
          </w:p>
        </w:tc>
        <w:tc>
          <w:tcPr>
            <w:tcW w:w="1350" w:type="dxa"/>
          </w:tcPr>
          <w:p w:rsidR="00B30290" w:rsidRDefault="00362B5F" w:rsidP="000C71E2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</w:t>
            </w:r>
          </w:p>
        </w:tc>
        <w:tc>
          <w:tcPr>
            <w:tcW w:w="1161" w:type="dxa"/>
          </w:tcPr>
          <w:p w:rsidR="00B30290" w:rsidRDefault="00362B5F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88800</w:t>
            </w:r>
          </w:p>
        </w:tc>
        <w:tc>
          <w:tcPr>
            <w:tcW w:w="3521" w:type="dxa"/>
          </w:tcPr>
          <w:p w:rsidR="00B30290" w:rsidRDefault="00362B5F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 Interest</w:t>
            </w:r>
          </w:p>
        </w:tc>
        <w:tc>
          <w:tcPr>
            <w:tcW w:w="1350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 Return</w:t>
            </w:r>
          </w:p>
        </w:tc>
        <w:tc>
          <w:tcPr>
            <w:tcW w:w="1161" w:type="dxa"/>
          </w:tcPr>
          <w:p w:rsidR="00B30290" w:rsidRDefault="00362B5F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27000</w:t>
            </w:r>
          </w:p>
        </w:tc>
        <w:tc>
          <w:tcPr>
            <w:tcW w:w="3521" w:type="dxa"/>
          </w:tcPr>
          <w:p w:rsidR="00B30290" w:rsidRDefault="00362B5F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Miscellaneous Income</w:t>
            </w:r>
          </w:p>
        </w:tc>
        <w:tc>
          <w:tcPr>
            <w:tcW w:w="1350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&amp; Fuel</w:t>
            </w:r>
          </w:p>
        </w:tc>
        <w:tc>
          <w:tcPr>
            <w:tcW w:w="1161" w:type="dxa"/>
          </w:tcPr>
          <w:p w:rsidR="00B30290" w:rsidRDefault="00362B5F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27900</w:t>
            </w:r>
          </w:p>
        </w:tc>
        <w:tc>
          <w:tcPr>
            <w:tcW w:w="3521" w:type="dxa"/>
          </w:tcPr>
          <w:p w:rsidR="00B30290" w:rsidRDefault="00362B5F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Operating Revenue</w:t>
            </w:r>
          </w:p>
        </w:tc>
        <w:tc>
          <w:tcPr>
            <w:tcW w:w="1350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Insurance</w:t>
            </w:r>
          </w:p>
        </w:tc>
        <w:tc>
          <w:tcPr>
            <w:tcW w:w="1161" w:type="dxa"/>
          </w:tcPr>
          <w:p w:rsidR="00B30290" w:rsidRDefault="00362B5F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39300</w:t>
            </w:r>
          </w:p>
        </w:tc>
        <w:tc>
          <w:tcPr>
            <w:tcW w:w="3521" w:type="dxa"/>
          </w:tcPr>
          <w:p w:rsidR="00B30290" w:rsidRDefault="00362B5F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Purchase Return</w:t>
            </w:r>
          </w:p>
        </w:tc>
        <w:tc>
          <w:tcPr>
            <w:tcW w:w="1350" w:type="dxa"/>
          </w:tcPr>
          <w:p w:rsidR="00B30290" w:rsidRDefault="00362B5F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6C460D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Plant</w:t>
            </w:r>
          </w:p>
        </w:tc>
        <w:tc>
          <w:tcPr>
            <w:tcW w:w="1161" w:type="dxa"/>
          </w:tcPr>
          <w:p w:rsidR="00B30290" w:rsidRDefault="006C460D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600000</w:t>
            </w:r>
          </w:p>
        </w:tc>
        <w:tc>
          <w:tcPr>
            <w:tcW w:w="3521" w:type="dxa"/>
          </w:tcPr>
          <w:p w:rsidR="00B30290" w:rsidRDefault="006C460D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Dividend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Equlisation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Fund</w:t>
            </w:r>
          </w:p>
        </w:tc>
        <w:tc>
          <w:tcPr>
            <w:tcW w:w="1350" w:type="dxa"/>
          </w:tcPr>
          <w:p w:rsidR="00B30290" w:rsidRDefault="006C460D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6C460D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Rent and Taxes</w:t>
            </w:r>
          </w:p>
        </w:tc>
        <w:tc>
          <w:tcPr>
            <w:tcW w:w="1161" w:type="dxa"/>
          </w:tcPr>
          <w:p w:rsidR="00B30290" w:rsidRDefault="006C460D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24000</w:t>
            </w:r>
          </w:p>
        </w:tc>
        <w:tc>
          <w:tcPr>
            <w:tcW w:w="3521" w:type="dxa"/>
          </w:tcPr>
          <w:p w:rsidR="00B30290" w:rsidRDefault="006C460D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8% Debentures</w:t>
            </w:r>
          </w:p>
        </w:tc>
        <w:tc>
          <w:tcPr>
            <w:tcW w:w="1350" w:type="dxa"/>
          </w:tcPr>
          <w:p w:rsidR="00B30290" w:rsidRDefault="006C460D" w:rsidP="004246F9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</w:t>
            </w:r>
          </w:p>
        </w:tc>
      </w:tr>
      <w:tr w:rsidR="00B30290" w:rsidRPr="0020123B" w:rsidTr="00A015AE">
        <w:tc>
          <w:tcPr>
            <w:tcW w:w="3503" w:type="dxa"/>
          </w:tcPr>
          <w:p w:rsidR="00B30290" w:rsidRDefault="007156D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 Receivable</w:t>
            </w:r>
          </w:p>
        </w:tc>
        <w:tc>
          <w:tcPr>
            <w:tcW w:w="1161" w:type="dxa"/>
          </w:tcPr>
          <w:p w:rsidR="00B30290" w:rsidRDefault="007156D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540000</w:t>
            </w:r>
          </w:p>
        </w:tc>
        <w:tc>
          <w:tcPr>
            <w:tcW w:w="3521" w:type="dxa"/>
          </w:tcPr>
          <w:p w:rsidR="00B30290" w:rsidRDefault="007156D9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Acceptances</w:t>
            </w:r>
          </w:p>
        </w:tc>
        <w:tc>
          <w:tcPr>
            <w:tcW w:w="1350" w:type="dxa"/>
          </w:tcPr>
          <w:p w:rsidR="00B30290" w:rsidRDefault="007156D9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DD775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Repairs to Building</w:t>
            </w:r>
          </w:p>
        </w:tc>
        <w:tc>
          <w:tcPr>
            <w:tcW w:w="1161" w:type="dxa"/>
          </w:tcPr>
          <w:p w:rsidR="007156D9" w:rsidRDefault="00DD775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51900</w:t>
            </w:r>
          </w:p>
        </w:tc>
        <w:tc>
          <w:tcPr>
            <w:tcW w:w="3521" w:type="dxa"/>
          </w:tcPr>
          <w:p w:rsidR="007156D9" w:rsidRDefault="00DD7759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Share Capital</w:t>
            </w:r>
          </w:p>
        </w:tc>
        <w:tc>
          <w:tcPr>
            <w:tcW w:w="1350" w:type="dxa"/>
          </w:tcPr>
          <w:p w:rsidR="007156D9" w:rsidRDefault="00DD7759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1050000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DD775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Staff Welfare Expenses</w:t>
            </w:r>
          </w:p>
        </w:tc>
        <w:tc>
          <w:tcPr>
            <w:tcW w:w="1161" w:type="dxa"/>
          </w:tcPr>
          <w:p w:rsidR="007156D9" w:rsidRDefault="00DD775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27300</w:t>
            </w:r>
          </w:p>
        </w:tc>
        <w:tc>
          <w:tcPr>
            <w:tcW w:w="3521" w:type="dxa"/>
          </w:tcPr>
          <w:p w:rsidR="007156D9" w:rsidRDefault="00DD7759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Unclaimed Dividend</w:t>
            </w:r>
          </w:p>
        </w:tc>
        <w:tc>
          <w:tcPr>
            <w:tcW w:w="1350" w:type="dxa"/>
          </w:tcPr>
          <w:p w:rsidR="007156D9" w:rsidRDefault="00DD7759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DD7759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Premises</w:t>
            </w:r>
          </w:p>
        </w:tc>
        <w:tc>
          <w:tcPr>
            <w:tcW w:w="1161" w:type="dxa"/>
          </w:tcPr>
          <w:p w:rsidR="007156D9" w:rsidRDefault="00DD7759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540000</w:t>
            </w:r>
          </w:p>
        </w:tc>
        <w:tc>
          <w:tcPr>
            <w:tcW w:w="3521" w:type="dxa"/>
          </w:tcPr>
          <w:p w:rsidR="007156D9" w:rsidRDefault="00521FC6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 on Trade Investment</w:t>
            </w:r>
          </w:p>
        </w:tc>
        <w:tc>
          <w:tcPr>
            <w:tcW w:w="1350" w:type="dxa"/>
          </w:tcPr>
          <w:p w:rsidR="007156D9" w:rsidRDefault="00521FC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521FC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 Investment</w:t>
            </w:r>
          </w:p>
        </w:tc>
        <w:tc>
          <w:tcPr>
            <w:tcW w:w="1161" w:type="dxa"/>
          </w:tcPr>
          <w:p w:rsidR="007156D9" w:rsidRDefault="00521FC6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75000</w:t>
            </w:r>
          </w:p>
        </w:tc>
        <w:tc>
          <w:tcPr>
            <w:tcW w:w="3521" w:type="dxa"/>
          </w:tcPr>
          <w:p w:rsidR="007156D9" w:rsidRDefault="000C14D4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Deposit from Public ( Unsecured)</w:t>
            </w:r>
          </w:p>
        </w:tc>
        <w:tc>
          <w:tcPr>
            <w:tcW w:w="1350" w:type="dxa"/>
          </w:tcPr>
          <w:p w:rsidR="007156D9" w:rsidRDefault="000C14D4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0C14D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Purchases</w:t>
            </w:r>
          </w:p>
        </w:tc>
        <w:tc>
          <w:tcPr>
            <w:tcW w:w="1161" w:type="dxa"/>
          </w:tcPr>
          <w:p w:rsidR="007156D9" w:rsidRDefault="000C14D4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759000</w:t>
            </w:r>
          </w:p>
        </w:tc>
        <w:tc>
          <w:tcPr>
            <w:tcW w:w="3521" w:type="dxa"/>
          </w:tcPr>
          <w:p w:rsidR="007156D9" w:rsidRDefault="000C7BA3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Pension Fund</w:t>
            </w:r>
          </w:p>
        </w:tc>
        <w:tc>
          <w:tcPr>
            <w:tcW w:w="1350" w:type="dxa"/>
          </w:tcPr>
          <w:p w:rsidR="007156D9" w:rsidRDefault="000C7BA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0C7BA3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Freight Outward</w:t>
            </w:r>
          </w:p>
        </w:tc>
        <w:tc>
          <w:tcPr>
            <w:tcW w:w="1161" w:type="dxa"/>
          </w:tcPr>
          <w:p w:rsidR="007156D9" w:rsidRDefault="000C7BA3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14400</w:t>
            </w:r>
          </w:p>
        </w:tc>
        <w:tc>
          <w:tcPr>
            <w:tcW w:w="3521" w:type="dxa"/>
          </w:tcPr>
          <w:p w:rsidR="007156D9" w:rsidRDefault="000C7BA3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Sundry Income received in Advance</w:t>
            </w:r>
          </w:p>
        </w:tc>
        <w:tc>
          <w:tcPr>
            <w:tcW w:w="1350" w:type="dxa"/>
          </w:tcPr>
          <w:p w:rsidR="007156D9" w:rsidRDefault="000C7BA3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12432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Raw Material stock on 1</w:t>
            </w:r>
            <w:r w:rsidRPr="00124326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 xml:space="preserve"> April 2013</w:t>
            </w:r>
          </w:p>
        </w:tc>
        <w:tc>
          <w:tcPr>
            <w:tcW w:w="1161" w:type="dxa"/>
          </w:tcPr>
          <w:p w:rsidR="007156D9" w:rsidRDefault="00124326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35700</w:t>
            </w:r>
          </w:p>
        </w:tc>
        <w:tc>
          <w:tcPr>
            <w:tcW w:w="3521" w:type="dxa"/>
          </w:tcPr>
          <w:p w:rsidR="007156D9" w:rsidRDefault="00124326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Capital Reserve</w:t>
            </w:r>
          </w:p>
        </w:tc>
        <w:tc>
          <w:tcPr>
            <w:tcW w:w="1350" w:type="dxa"/>
          </w:tcPr>
          <w:p w:rsidR="007156D9" w:rsidRDefault="00124326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22500</w:t>
            </w:r>
          </w:p>
        </w:tc>
      </w:tr>
      <w:tr w:rsidR="007156D9" w:rsidRPr="0020123B" w:rsidTr="00A015AE">
        <w:tc>
          <w:tcPr>
            <w:tcW w:w="3503" w:type="dxa"/>
          </w:tcPr>
          <w:p w:rsidR="007156D9" w:rsidRDefault="0012432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Salaries &amp; Wages</w:t>
            </w:r>
          </w:p>
        </w:tc>
        <w:tc>
          <w:tcPr>
            <w:tcW w:w="1161" w:type="dxa"/>
          </w:tcPr>
          <w:p w:rsidR="007156D9" w:rsidRDefault="00FF7A2B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193200</w:t>
            </w:r>
          </w:p>
        </w:tc>
        <w:tc>
          <w:tcPr>
            <w:tcW w:w="3521" w:type="dxa"/>
          </w:tcPr>
          <w:p w:rsidR="007156D9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 Payable</w:t>
            </w:r>
          </w:p>
        </w:tc>
        <w:tc>
          <w:tcPr>
            <w:tcW w:w="1350" w:type="dxa"/>
          </w:tcPr>
          <w:p w:rsidR="007156D9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312000</w:t>
            </w:r>
          </w:p>
        </w:tc>
      </w:tr>
      <w:tr w:rsidR="00FF7A2B" w:rsidRPr="0020123B" w:rsidTr="00A015AE">
        <w:tc>
          <w:tcPr>
            <w:tcW w:w="3503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 Vehicle</w:t>
            </w:r>
          </w:p>
        </w:tc>
        <w:tc>
          <w:tcPr>
            <w:tcW w:w="1161" w:type="dxa"/>
          </w:tcPr>
          <w:p w:rsidR="00FF7A2B" w:rsidRDefault="00FF7A2B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3521" w:type="dxa"/>
          </w:tcPr>
          <w:p w:rsidR="00FF7A2B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Rent payable</w:t>
            </w:r>
          </w:p>
        </w:tc>
        <w:tc>
          <w:tcPr>
            <w:tcW w:w="1350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24000</w:t>
            </w: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Freight Inward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15300</w:t>
            </w:r>
          </w:p>
        </w:tc>
        <w:tc>
          <w:tcPr>
            <w:tcW w:w="3521" w:type="dxa"/>
          </w:tcPr>
          <w:p w:rsidR="00FF7A2B" w:rsidRDefault="007B1541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Provision for Employee benefits</w:t>
            </w:r>
          </w:p>
        </w:tc>
        <w:tc>
          <w:tcPr>
            <w:tcW w:w="1350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</w:t>
            </w: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Bills Receivable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90900</w:t>
            </w:r>
          </w:p>
        </w:tc>
        <w:tc>
          <w:tcPr>
            <w:tcW w:w="3521" w:type="dxa"/>
          </w:tcPr>
          <w:p w:rsidR="00FF7A2B" w:rsidRDefault="007B1541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 Overdraft</w:t>
            </w:r>
          </w:p>
        </w:tc>
        <w:tc>
          <w:tcPr>
            <w:tcW w:w="1350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43800</w:t>
            </w: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Furniture and Fixtures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</w:t>
            </w:r>
          </w:p>
        </w:tc>
        <w:tc>
          <w:tcPr>
            <w:tcW w:w="3521" w:type="dxa"/>
          </w:tcPr>
          <w:p w:rsidR="00FF7A2B" w:rsidRDefault="007B1541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Debenture Redemption Reserve</w:t>
            </w:r>
          </w:p>
        </w:tc>
        <w:tc>
          <w:tcPr>
            <w:tcW w:w="1350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33000</w:t>
            </w: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 Debts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9300</w:t>
            </w:r>
          </w:p>
        </w:tc>
        <w:tc>
          <w:tcPr>
            <w:tcW w:w="3521" w:type="dxa"/>
          </w:tcPr>
          <w:p w:rsidR="00FF7A2B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Contribution to Pension Fund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3521" w:type="dxa"/>
          </w:tcPr>
          <w:p w:rsidR="00FF7A2B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Underwriting Commission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</w:t>
            </w:r>
          </w:p>
        </w:tc>
        <w:tc>
          <w:tcPr>
            <w:tcW w:w="3521" w:type="dxa"/>
          </w:tcPr>
          <w:p w:rsidR="00FF7A2B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A2B" w:rsidRPr="0020123B" w:rsidTr="00A015AE">
        <w:tc>
          <w:tcPr>
            <w:tcW w:w="3503" w:type="dxa"/>
          </w:tcPr>
          <w:p w:rsidR="00FF7A2B" w:rsidRDefault="007B154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 Receivable on Investment</w:t>
            </w:r>
          </w:p>
        </w:tc>
        <w:tc>
          <w:tcPr>
            <w:tcW w:w="1161" w:type="dxa"/>
          </w:tcPr>
          <w:p w:rsidR="00FF7A2B" w:rsidRDefault="007B1541" w:rsidP="000812A6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3521" w:type="dxa"/>
          </w:tcPr>
          <w:p w:rsidR="00FF7A2B" w:rsidRDefault="00FF7A2B" w:rsidP="00C82571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FF7A2B" w:rsidRDefault="00FF7A2B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6E9" w:rsidRPr="0020123B" w:rsidTr="00A015AE">
        <w:trPr>
          <w:trHeight w:val="170"/>
        </w:trPr>
        <w:tc>
          <w:tcPr>
            <w:tcW w:w="3503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E6172B" w:rsidRPr="0020123B" w:rsidRDefault="000C71E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="000812A6">
              <w:rPr>
                <w:rFonts w:ascii="Arial" w:hAnsi="Arial" w:cs="Arial"/>
                <w:b/>
                <w:sz w:val="20"/>
                <w:szCs w:val="20"/>
              </w:rPr>
              <w:t>00000</w:t>
            </w:r>
          </w:p>
        </w:tc>
        <w:tc>
          <w:tcPr>
            <w:tcW w:w="3521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350" w:type="dxa"/>
          </w:tcPr>
          <w:p w:rsidR="00E6172B" w:rsidRPr="0020123B" w:rsidRDefault="000C71E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3600000</w:t>
            </w:r>
          </w:p>
        </w:tc>
      </w:tr>
    </w:tbl>
    <w:p w:rsidR="00E6172B" w:rsidRPr="005C0D9B" w:rsidRDefault="005C0D9B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are required to consider the following further information:--</w:t>
      </w:r>
    </w:p>
    <w:p w:rsidR="004246F9" w:rsidRDefault="004246F9" w:rsidP="004246F9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Stock of Raw Material as on 31</w:t>
      </w:r>
      <w:r w:rsidRPr="0020123B">
        <w:rPr>
          <w:rFonts w:ascii="Arial" w:hAnsi="Arial" w:cs="Arial"/>
          <w:sz w:val="20"/>
          <w:szCs w:val="20"/>
          <w:vertAlign w:val="superscript"/>
        </w:rPr>
        <w:t>st</w:t>
      </w:r>
      <w:r w:rsidRPr="0020123B">
        <w:rPr>
          <w:rFonts w:ascii="Arial" w:hAnsi="Arial" w:cs="Arial"/>
          <w:sz w:val="20"/>
          <w:szCs w:val="20"/>
        </w:rPr>
        <w:t xml:space="preserve"> March 2014 amounted to Rs.</w:t>
      </w:r>
      <w:r>
        <w:rPr>
          <w:rFonts w:ascii="Arial" w:hAnsi="Arial" w:cs="Arial"/>
          <w:sz w:val="20"/>
          <w:szCs w:val="20"/>
        </w:rPr>
        <w:t>510</w:t>
      </w:r>
      <w:r w:rsidRPr="0020123B">
        <w:rPr>
          <w:rFonts w:ascii="Arial" w:hAnsi="Arial" w:cs="Arial"/>
          <w:sz w:val="20"/>
          <w:szCs w:val="20"/>
        </w:rPr>
        <w:t>00/-</w:t>
      </w:r>
      <w:r>
        <w:rPr>
          <w:rFonts w:ascii="Arial" w:hAnsi="Arial" w:cs="Arial"/>
          <w:sz w:val="20"/>
          <w:szCs w:val="20"/>
        </w:rPr>
        <w:t>.</w:t>
      </w:r>
    </w:p>
    <w:p w:rsidR="003C49E7" w:rsidRPr="004246F9" w:rsidRDefault="004246F9" w:rsidP="004246F9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Rs.63300 for Taxation.</w:t>
      </w:r>
    </w:p>
    <w:p w:rsidR="004246F9" w:rsidRDefault="004246F9" w:rsidP="006D3D82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Directors proposed a dividend of 8</w:t>
      </w:r>
      <w:proofErr w:type="gramStart"/>
      <w:r>
        <w:rPr>
          <w:rFonts w:ascii="Arial" w:hAnsi="Arial" w:cs="Arial"/>
          <w:sz w:val="20"/>
          <w:szCs w:val="20"/>
        </w:rPr>
        <w:t>% .</w:t>
      </w:r>
      <w:proofErr w:type="gramEnd"/>
    </w:p>
    <w:p w:rsidR="004246F9" w:rsidRDefault="004246F9" w:rsidP="006D3D82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Provision for bad &amp; doubtful debts to be made @ 5%.</w:t>
      </w:r>
    </w:p>
    <w:p w:rsidR="00F411B1" w:rsidRPr="009054A8" w:rsidRDefault="009054A8" w:rsidP="00F411B1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54A8">
        <w:rPr>
          <w:rFonts w:ascii="Arial" w:hAnsi="Arial" w:cs="Arial"/>
          <w:sz w:val="20"/>
          <w:szCs w:val="20"/>
        </w:rPr>
        <w:t>Provide depreciation @ 5</w:t>
      </w:r>
      <w:r w:rsidR="006D3D82" w:rsidRPr="009054A8">
        <w:rPr>
          <w:rFonts w:ascii="Arial" w:hAnsi="Arial" w:cs="Arial"/>
          <w:sz w:val="20"/>
          <w:szCs w:val="20"/>
        </w:rPr>
        <w:t xml:space="preserve">% on </w:t>
      </w:r>
      <w:r w:rsidRPr="009054A8">
        <w:rPr>
          <w:rFonts w:ascii="Arial" w:hAnsi="Arial" w:cs="Arial"/>
          <w:sz w:val="20"/>
          <w:szCs w:val="20"/>
        </w:rPr>
        <w:t>Business Premises and Motor Vehicle</w:t>
      </w:r>
      <w:r w:rsidR="006D3D82" w:rsidRPr="009054A8">
        <w:rPr>
          <w:rFonts w:ascii="Arial" w:hAnsi="Arial" w:cs="Arial"/>
          <w:sz w:val="20"/>
          <w:szCs w:val="20"/>
        </w:rPr>
        <w:t>.</w:t>
      </w:r>
    </w:p>
    <w:p w:rsidR="00F411B1" w:rsidRPr="00F411B1" w:rsidRDefault="00FE17EE" w:rsidP="00F411B1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F411B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repare a Statement of Profit and Loss Account </w:t>
      </w:r>
      <w:r w:rsidR="00122E2A">
        <w:rPr>
          <w:rFonts w:ascii="Arial" w:hAnsi="Arial" w:cs="Arial"/>
          <w:sz w:val="20"/>
          <w:szCs w:val="20"/>
        </w:rPr>
        <w:t>for the year ended 31</w:t>
      </w:r>
      <w:r w:rsidR="00122E2A" w:rsidRPr="00122E2A">
        <w:rPr>
          <w:rFonts w:ascii="Arial" w:hAnsi="Arial" w:cs="Arial"/>
          <w:sz w:val="20"/>
          <w:szCs w:val="20"/>
          <w:vertAlign w:val="superscript"/>
        </w:rPr>
        <w:t>st</w:t>
      </w:r>
      <w:r w:rsidR="00122E2A">
        <w:rPr>
          <w:rFonts w:ascii="Arial" w:hAnsi="Arial" w:cs="Arial"/>
          <w:sz w:val="20"/>
          <w:szCs w:val="20"/>
        </w:rPr>
        <w:t xml:space="preserve"> March 2014 and a Balance Sheet as on that date.</w:t>
      </w:r>
    </w:p>
    <w:p w:rsidR="005D2872" w:rsidRPr="0020123B" w:rsidRDefault="005D2872" w:rsidP="00DC2919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D2872" w:rsidRPr="0020123B" w:rsidSect="0020123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D9B"/>
    <w:multiLevelType w:val="hybridMultilevel"/>
    <w:tmpl w:val="87626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536F9"/>
    <w:multiLevelType w:val="hybridMultilevel"/>
    <w:tmpl w:val="3BAC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911E7"/>
    <w:multiLevelType w:val="hybridMultilevel"/>
    <w:tmpl w:val="23920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72B"/>
    <w:rsid w:val="000129CC"/>
    <w:rsid w:val="00020816"/>
    <w:rsid w:val="00056EA4"/>
    <w:rsid w:val="000812A6"/>
    <w:rsid w:val="00085E38"/>
    <w:rsid w:val="00086873"/>
    <w:rsid w:val="00091998"/>
    <w:rsid w:val="000C14D4"/>
    <w:rsid w:val="000C71E2"/>
    <w:rsid w:val="000C7BA3"/>
    <w:rsid w:val="000E1FAC"/>
    <w:rsid w:val="0010798B"/>
    <w:rsid w:val="00122E2A"/>
    <w:rsid w:val="00124326"/>
    <w:rsid w:val="00161F71"/>
    <w:rsid w:val="00164411"/>
    <w:rsid w:val="001904D2"/>
    <w:rsid w:val="00197C43"/>
    <w:rsid w:val="001A5064"/>
    <w:rsid w:val="001A64A4"/>
    <w:rsid w:val="001D0F25"/>
    <w:rsid w:val="0020123B"/>
    <w:rsid w:val="00212B67"/>
    <w:rsid w:val="00220F6E"/>
    <w:rsid w:val="00245D1D"/>
    <w:rsid w:val="002A7929"/>
    <w:rsid w:val="002E3E34"/>
    <w:rsid w:val="00362B5F"/>
    <w:rsid w:val="003808E2"/>
    <w:rsid w:val="003C49E7"/>
    <w:rsid w:val="003D5A49"/>
    <w:rsid w:val="00402EDF"/>
    <w:rsid w:val="004246F9"/>
    <w:rsid w:val="00464D25"/>
    <w:rsid w:val="00487181"/>
    <w:rsid w:val="005069D3"/>
    <w:rsid w:val="005166E9"/>
    <w:rsid w:val="00521FC6"/>
    <w:rsid w:val="00542B44"/>
    <w:rsid w:val="005A0360"/>
    <w:rsid w:val="005C0D9B"/>
    <w:rsid w:val="005D2872"/>
    <w:rsid w:val="00606921"/>
    <w:rsid w:val="006C460D"/>
    <w:rsid w:val="006D3D82"/>
    <w:rsid w:val="007156D9"/>
    <w:rsid w:val="007606D7"/>
    <w:rsid w:val="007A7E42"/>
    <w:rsid w:val="007B1541"/>
    <w:rsid w:val="0080202F"/>
    <w:rsid w:val="008B2F71"/>
    <w:rsid w:val="008B34E9"/>
    <w:rsid w:val="008D422D"/>
    <w:rsid w:val="008F5CFF"/>
    <w:rsid w:val="009054A8"/>
    <w:rsid w:val="0091258F"/>
    <w:rsid w:val="00915CC9"/>
    <w:rsid w:val="009335BB"/>
    <w:rsid w:val="00977A2B"/>
    <w:rsid w:val="009E6137"/>
    <w:rsid w:val="009F4309"/>
    <w:rsid w:val="00A015AE"/>
    <w:rsid w:val="00A31757"/>
    <w:rsid w:val="00A317DA"/>
    <w:rsid w:val="00AA65F6"/>
    <w:rsid w:val="00AC0807"/>
    <w:rsid w:val="00AE3626"/>
    <w:rsid w:val="00B04BEF"/>
    <w:rsid w:val="00B30290"/>
    <w:rsid w:val="00B50979"/>
    <w:rsid w:val="00BA3813"/>
    <w:rsid w:val="00BD5FCB"/>
    <w:rsid w:val="00BF4E2E"/>
    <w:rsid w:val="00C566C9"/>
    <w:rsid w:val="00C636D1"/>
    <w:rsid w:val="00C82571"/>
    <w:rsid w:val="00C90BDE"/>
    <w:rsid w:val="00D07BAF"/>
    <w:rsid w:val="00D307F0"/>
    <w:rsid w:val="00D94B14"/>
    <w:rsid w:val="00DC2919"/>
    <w:rsid w:val="00DD7759"/>
    <w:rsid w:val="00DF53A2"/>
    <w:rsid w:val="00E21743"/>
    <w:rsid w:val="00E26CE4"/>
    <w:rsid w:val="00E34502"/>
    <w:rsid w:val="00E41DAF"/>
    <w:rsid w:val="00E46B62"/>
    <w:rsid w:val="00E6172B"/>
    <w:rsid w:val="00E81256"/>
    <w:rsid w:val="00E81A27"/>
    <w:rsid w:val="00E92BE6"/>
    <w:rsid w:val="00ED33C5"/>
    <w:rsid w:val="00ED5819"/>
    <w:rsid w:val="00EE0E66"/>
    <w:rsid w:val="00F20244"/>
    <w:rsid w:val="00F35004"/>
    <w:rsid w:val="00F40732"/>
    <w:rsid w:val="00F411B1"/>
    <w:rsid w:val="00F4765C"/>
    <w:rsid w:val="00F7111E"/>
    <w:rsid w:val="00F80B5C"/>
    <w:rsid w:val="00FA1785"/>
    <w:rsid w:val="00FC692E"/>
    <w:rsid w:val="00FE17EE"/>
    <w:rsid w:val="00FF6293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2B"/>
    <w:pPr>
      <w:ind w:left="720"/>
      <w:contextualSpacing/>
    </w:pPr>
  </w:style>
  <w:style w:type="table" w:styleId="TableGrid">
    <w:name w:val="Table Grid"/>
    <w:basedOn w:val="TableNormal"/>
    <w:uiPriority w:val="59"/>
    <w:rsid w:val="00E6172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Shahu College PUNE</dc:creator>
  <cp:keywords/>
  <dc:description/>
  <cp:lastModifiedBy>kothari</cp:lastModifiedBy>
  <cp:revision>12</cp:revision>
  <dcterms:created xsi:type="dcterms:W3CDTF">2015-08-20T09:26:00Z</dcterms:created>
  <dcterms:modified xsi:type="dcterms:W3CDTF">2015-08-20T10:09:00Z</dcterms:modified>
</cp:coreProperties>
</file>